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南银理财珠联璧合鑫逸稳一年202期封闭式公募人民币理财产品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南银理财珠联璧合鑫逸稳一年202期封闭式公募人民币理财产品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Z7003225000019（投资者可依据该编码在中国理财网www.chinawealth.com.cn查询理财产品相关信息）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2025年02月06日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1,530,140,641.00份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100.24%</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中信信托有限责任公司,中粮信托有限责任公司,交银国际信托有限公司,国投泰康信托有限公司,广东粤财信托有限公司,紫金信托有限责任公司,泰康资产管理有限责任公司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报告期（2025年02月06日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786,196,372.97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388,322,527.07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170,366,653.47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59,630,103.68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45,242,158.87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Y36202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98,932,149.10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截至报告期末，本产品Y30202份额净值为1.0118元，Y31202份额净值为1.0122元，Y32202份额净值为1.0126元，Y34202份额净值为1.0126元，Y35202份额净值为1.0122元，Y36202份额净值为1.0126元。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96.32</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3.68</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467,495,542.91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30.19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XTDKX202503030024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中信信托·惠泽12号债权投资集合资金信托计划第1期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331,990,262.63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321,441,895.96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XTDKX202502240023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中粮信托·南盈14号集合资金信托计划（第2期）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195,438,913.80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12.62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粤财信托·瑞兴196号集合资金信托计划（第1期）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100,184,340.00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粤财信托·瑞兴206号集合资金信托计划第2期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85,190,169.65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5.50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ZCZQT202502170002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泰康资产-元兴1号普惠金融资产支持计划第3期优先A级</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29,011,756.91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XTDKX202502140002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10,093,300.50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0.65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XTDKX202502170001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交银国信·蓝色睿投3号集合资金信托计划第1期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10,092,836.80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0.65</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中信信托·惠泽12号债权投资集合资金信托计划第1期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交银国信·蓝色睿投3号集合资金信托计划第1期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泰康资产-元兴1号普惠金融资产支持计划第3期优先A级</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资产证券化(债权型)</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泰州东部新城控股集团有限公司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粤财信托·瑞兴206号集合资金信托计划第2期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无锡惠山高科集团有限公司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粤财信托·瑞兴196号集合资金信托计划（第1期）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泰州高教投资发展有限公司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中粮信托·南盈14号集合资金信托计划（第2期）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240</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0101050000001360</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595,000,000.00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111,287.08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